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596" w:rsidRPr="00DB5596" w:rsidRDefault="00DB5596" w:rsidP="00DB5596">
      <w:pPr>
        <w:spacing w:after="0" w:line="240" w:lineRule="auto"/>
        <w:ind w:firstLine="709"/>
        <w:jc w:val="center"/>
        <w:rPr>
          <w:rFonts w:ascii="Times New Roman" w:eastAsia="Times New Roman" w:hAnsi="Times New Roman" w:cs="Times New Roman"/>
          <w:b/>
          <w:sz w:val="24"/>
          <w:szCs w:val="24"/>
          <w:lang w:eastAsia="ru-RU"/>
        </w:rPr>
      </w:pPr>
      <w:r w:rsidRPr="00DB5596">
        <w:rPr>
          <w:rFonts w:ascii="Times New Roman" w:eastAsia="Times New Roman" w:hAnsi="Times New Roman" w:cs="Times New Roman"/>
          <w:b/>
          <w:sz w:val="24"/>
          <w:szCs w:val="24"/>
          <w:lang w:val="kk-KZ" w:eastAsia="ru-RU"/>
        </w:rPr>
        <w:t>1.3 Электрондық коммерция нарығы – сұраныс пен ұсыныс</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 – бұл нақтылық, бұл қазіргі кезде жүріп жатыр және тез таралуда. Қазіргі кезге қарай көптеген электрондық мәміле жабық қоғамдастықтарда бекітіліп қойған. Алайда Интернет желісінің өсуі жеткізуші-лер мен тұтынушылардың осы қоғамдастықтарының шекараларынан алыс электрондық коммерцияға  қатысуының биік деңгейіне әкелді. Ұйымдар мен жеке тұлғалардың Internet-ті пайдалану арқылы бизнеске қызығушылығының артуына қарай, осы рыноктың үлкен үлесін барған сайын электрондық коммерцияның программалық және техникалық құралдары ала бастады. Осыған орай ұсынысқа қатысты бөлігі технологиядан (программалық және ақпараттық қамтамасыз етудің арнайы инфрақұрылымы, жалпы қызмет, арнайы қосымшалар кіретін) тұрады. Рыноктың берілген сегментінің өніміне қатысты бөлігін, электрондық коммерцияға қатысуға ұйғарым жасаған ұйымдар мен жеке тұлғалар анықтайды.</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Нарықтың </w:t>
      </w:r>
      <w:r w:rsidRPr="009B410A">
        <w:rPr>
          <w:rFonts w:ascii="Times New Roman" w:eastAsia="Times New Roman" w:hAnsi="Times New Roman" w:cs="Times New Roman"/>
          <w:sz w:val="24"/>
          <w:szCs w:val="24"/>
          <w:lang w:val="kk-KZ" w:eastAsia="ru-RU"/>
        </w:rPr>
        <w:t>даму бағыттары мен көлемдері</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Бизнес-бизнес секторы EDI жалпы ұлттық стандарттар (Electronic data interchange, немесе деректермен электрондық алмасу) негізінде дамуда</w:t>
      </w:r>
    </w:p>
    <w:p w:rsidR="00DB5596" w:rsidRPr="009B410A" w:rsidRDefault="00DB5596" w:rsidP="00DB5596">
      <w:pPr>
        <w:spacing w:after="0" w:line="240" w:lineRule="auto"/>
        <w:ind w:firstLine="709"/>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extent cx="3657600" cy="2057400"/>
            <wp:effectExtent l="19050" t="0" r="0" b="0"/>
            <wp:docPr id="4" name="Рисунок 4" descr="Описание: F:\Учебник_ЭК_каз\Teory\lec1.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писание: F:\Учебник_ЭК_каз\Teory\lec1.files\image012.jpg"/>
                    <pic:cNvPicPr>
                      <a:picLocks noChangeAspect="1" noChangeArrowheads="1"/>
                    </pic:cNvPicPr>
                  </pic:nvPicPr>
                  <pic:blipFill>
                    <a:blip r:embed="rId4" cstate="print"/>
                    <a:srcRect/>
                    <a:stretch>
                      <a:fillRect/>
                    </a:stretch>
                  </pic:blipFill>
                  <pic:spPr bwMode="auto">
                    <a:xfrm>
                      <a:off x="0" y="0"/>
                      <a:ext cx="3657600" cy="2057400"/>
                    </a:xfrm>
                    <a:prstGeom prst="rect">
                      <a:avLst/>
                    </a:prstGeom>
                    <a:noFill/>
                    <a:ln w="9525">
                      <a:noFill/>
                      <a:miter lim="800000"/>
                      <a:headEnd/>
                      <a:tailEnd/>
                    </a:ln>
                  </pic:spPr>
                </pic:pic>
              </a:graphicData>
            </a:graphic>
          </wp:inline>
        </w:drawing>
      </w:r>
    </w:p>
    <w:p w:rsidR="00DB5596" w:rsidRPr="009B410A" w:rsidRDefault="00DB5596" w:rsidP="00DB5596">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xml:space="preserve">1.4-сурет – EDI тұжырымдамасы </w:t>
      </w:r>
    </w:p>
    <w:p w:rsidR="00DB5596" w:rsidRPr="009B410A" w:rsidRDefault="00DB5596" w:rsidP="00DB5596">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Әрбір ұйымда (1,2,3-суретте) өздерінің жеке қолданбалы бизнес-жүйелері (өндірісті басқару жүйесі, қоймалық есеп жүйесі,бухгалтерия және т.б.) болады. Одан әрі, осындай әрбір ұйымда бір  EDI-шлюз (EDI-gateway) бар, сол арқылы ол барлық басқа ұйымдармен стандарттық хабарламалармен алмасады.</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EDI-кеңістігі бар, ол түрлі телекоммуникациялық хаттамалар (Х25, FR, TCP/IP) үстіне және Х 400 стандартты электрондық пошта мен Интернет (SMTP/S-MIME) үстіне  ұйымдастырылады. Осылайша, кез келген жаңа ұйым (мысалы, 4-суретте) EDI-қауымдастығына тұңғыш қосыла отырып, бірден барлық EDI-серіктестерімен жұмыс істеу мүмкіндігін алады. Осыған орай осы ұйымға жалғыз қажеттісі – EDI-шлюз орнату [5].</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Бұрын айтылғандай EDI стандарттары 30 жыл бойы келе жатыр. «Электрондық коммерция» терминінің өзі EDI-ортасында туған, сосын Интернетке көшті.</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Қазір EDI трансформациясы, пошта хабарларын жеткізуге Web-based- EDI деп аталатын, яғни (Web-серверлерде) құрылған Internet деректерімен алмасу жүйелері жағына бейімделген жүйелер ретінде жүріп жатыр. Бұл EDI-жүйенің жылдамдығын күрт төмендетеді және оларды транзакцияны орындауға жарамды етеді.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EDI-қауымдастығының тұтас бірқатары бар, олар ірі телекоммуникация-лық провайдерлер айналасына қаланады. Қауымдастар мүшелері салынған телекоммуникациялық желілер мен шлюздің әр түрі арқылы өзара әрекеттеседі. Мұндай әрекеттесудің құны Интернет арқылы әрекеттесуге қарағанда біршама қымбат, сондықтан EDI-ді Интернетке көшіру – бұл АҚШ-та да, әлемде де бизнес биігінің ең өзекті мәселесі.</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«Бизнес-бизнес» секторында өзара әрекеттесуді ұйымдастыру тәсілінің бірі – виртуалды сауда үйлерін (Clearinghouses)  - сауда агенттері көптеген жеткізушілерден сатып ала алатын орындар құру.</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 нарығы – тұтынушы. Төменде келтірілген кестеде IDC (2003ж) компаниясының тауарларының жеке топтары бойынша деректері келтірілген [4].</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rsidR="00DB5596" w:rsidRPr="009B410A" w:rsidRDefault="00DB5596" w:rsidP="00DB5596">
      <w:pPr>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lastRenderedPageBreak/>
        <w:t xml:space="preserve">1.1-кесте – Тауарлар түрлері бойынша </w:t>
      </w:r>
      <w:r>
        <w:rPr>
          <w:rFonts w:ascii="Times New Roman" w:eastAsia="Times New Roman" w:hAnsi="Times New Roman" w:cs="Times New Roman"/>
          <w:sz w:val="24"/>
          <w:szCs w:val="24"/>
          <w:lang w:val="kk-KZ" w:eastAsia="ru-RU"/>
        </w:rPr>
        <w:t>деректер</w:t>
      </w:r>
    </w:p>
    <w:tbl>
      <w:tblPr>
        <w:tblW w:w="0" w:type="auto"/>
        <w:tblCellMar>
          <w:left w:w="0" w:type="dxa"/>
          <w:right w:w="0" w:type="dxa"/>
        </w:tblCellMar>
        <w:tblLook w:val="04A0"/>
      </w:tblPr>
      <w:tblGrid>
        <w:gridCol w:w="4248"/>
        <w:gridCol w:w="1260"/>
        <w:gridCol w:w="1080"/>
        <w:gridCol w:w="1080"/>
        <w:gridCol w:w="900"/>
        <w:gridCol w:w="1002"/>
      </w:tblGrid>
      <w:tr w:rsidR="00DB5596" w:rsidRPr="009B410A" w:rsidTr="00403BEA">
        <w:tc>
          <w:tcPr>
            <w:tcW w:w="42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Нарық </w:t>
            </w:r>
            <w:r w:rsidRPr="009B410A">
              <w:rPr>
                <w:rFonts w:ascii="Times New Roman" w:eastAsia="Times New Roman" w:hAnsi="Times New Roman" w:cs="Times New Roman"/>
                <w:sz w:val="24"/>
                <w:szCs w:val="24"/>
                <w:lang w:val="kk-KZ" w:eastAsia="ru-RU"/>
              </w:rPr>
              <w:t>секторлары</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2 0</w:t>
            </w:r>
            <w:r>
              <w:rPr>
                <w:rFonts w:ascii="Times New Roman" w:eastAsia="Times New Roman" w:hAnsi="Times New Roman" w:cs="Times New Roman"/>
                <w:sz w:val="24"/>
                <w:szCs w:val="24"/>
                <w:lang w:val="kk-KZ" w:eastAsia="ru-RU"/>
              </w:rPr>
              <w:t>1</w:t>
            </w:r>
            <w:r w:rsidRPr="009B410A">
              <w:rPr>
                <w:rFonts w:ascii="Times New Roman" w:eastAsia="Times New Roman" w:hAnsi="Times New Roman" w:cs="Times New Roman"/>
                <w:sz w:val="24"/>
                <w:szCs w:val="24"/>
                <w:lang w:eastAsia="ru-RU"/>
              </w:rPr>
              <w:t>3</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val="kk-KZ" w:eastAsia="ru-RU"/>
              </w:rPr>
              <w:t>1</w:t>
            </w:r>
            <w:r w:rsidRPr="009B410A">
              <w:rPr>
                <w:rFonts w:ascii="Times New Roman" w:eastAsia="Times New Roman" w:hAnsi="Times New Roman" w:cs="Times New Roman"/>
                <w:sz w:val="24"/>
                <w:szCs w:val="24"/>
                <w:lang w:eastAsia="ru-RU"/>
              </w:rPr>
              <w:t>4</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val="kk-KZ" w:eastAsia="ru-RU"/>
              </w:rPr>
              <w:t>1</w:t>
            </w:r>
            <w:r w:rsidRPr="009B410A">
              <w:rPr>
                <w:rFonts w:ascii="Times New Roman" w:eastAsia="Times New Roman" w:hAnsi="Times New Roman" w:cs="Times New Roman"/>
                <w:sz w:val="24"/>
                <w:szCs w:val="24"/>
                <w:lang w:eastAsia="ru-RU"/>
              </w:rPr>
              <w:t>5</w:t>
            </w:r>
          </w:p>
        </w:tc>
        <w:tc>
          <w:tcPr>
            <w:tcW w:w="9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val="kk-KZ" w:eastAsia="ru-RU"/>
              </w:rPr>
              <w:t>1</w:t>
            </w:r>
            <w:r w:rsidRPr="009B410A">
              <w:rPr>
                <w:rFonts w:ascii="Times New Roman" w:eastAsia="Times New Roman" w:hAnsi="Times New Roman" w:cs="Times New Roman"/>
                <w:sz w:val="24"/>
                <w:szCs w:val="24"/>
                <w:lang w:eastAsia="ru-RU"/>
              </w:rPr>
              <w:t>6</w:t>
            </w:r>
          </w:p>
        </w:tc>
        <w:tc>
          <w:tcPr>
            <w:tcW w:w="10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val="kk-KZ" w:eastAsia="ru-RU"/>
              </w:rPr>
              <w:t>1</w:t>
            </w:r>
            <w:r w:rsidRPr="009B410A">
              <w:rPr>
                <w:rFonts w:ascii="Times New Roman" w:eastAsia="Times New Roman" w:hAnsi="Times New Roman" w:cs="Times New Roman"/>
                <w:sz w:val="24"/>
                <w:szCs w:val="24"/>
                <w:lang w:eastAsia="ru-RU"/>
              </w:rPr>
              <w:t>7</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Жинақтаушы компьютерлер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140</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323</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701</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1.228</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2.105</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Саяхат және туризм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126</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276</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572</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961</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1.579</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Ойын-сауық</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85</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194</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420</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733</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1.250</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Киім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46</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89</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163</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234</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322</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Гүлдер мен сыйлықтар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45</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103</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222</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386</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658</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Азық-түлік пен сусындар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39</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78</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149</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227</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336</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Басқалар</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37</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75</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144</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221</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329</w:t>
            </w:r>
          </w:p>
        </w:tc>
      </w:tr>
      <w:tr w:rsidR="00DB5596" w:rsidRPr="009B410A" w:rsidTr="00403BEA">
        <w:tc>
          <w:tcPr>
            <w:tcW w:w="42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B5596" w:rsidRPr="009B410A" w:rsidRDefault="00DB5596" w:rsidP="00403BEA">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Барлығы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518</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1.138</w:t>
            </w:r>
          </w:p>
        </w:tc>
        <w:tc>
          <w:tcPr>
            <w:tcW w:w="10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2.371</w:t>
            </w:r>
          </w:p>
        </w:tc>
        <w:tc>
          <w:tcPr>
            <w:tcW w:w="9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3.990</w:t>
            </w:r>
          </w:p>
        </w:tc>
        <w:tc>
          <w:tcPr>
            <w:tcW w:w="10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B5596" w:rsidRPr="009B410A" w:rsidRDefault="00DB5596" w:rsidP="00DB5596">
            <w:pPr>
              <w:autoSpaceDE w:val="0"/>
              <w:autoSpaceDN w:val="0"/>
              <w:spacing w:after="0" w:line="240" w:lineRule="auto"/>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6.579</w:t>
            </w:r>
          </w:p>
        </w:tc>
      </w:tr>
    </w:tbl>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Мына кестеден көріп отырғандай, компьютерлер саудасы, сондай-ақ туристік қызмет нарығы тізімді басқарып келген. Бұл беталыс қазір де, мысалы азық-түлік пен сыйлықтар киімдерден және барлық қалғандарынан асып түсетіні сияқты өзгерістер болғанмен,  сақталып келеді.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Интернет-дүкендердің - жеке тұлғаға ма немесе ұйымдарға ма, әйтеуір кімге сатса да бәрібір етіп құрылғанын атап өткен жөн. Сондықтан Интернет-дүкен бизнес-процесті ұйымдастыруға байланысты «бизнес-сатып алушы» немесе «бизнес-бизнес» секторына (ал кейде анаған да, мынаған да) жатуы мүмкін. Осы терминдердің шекарасы жойылады [6].</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Осылайша Интернет-коммерция рыногының түрлі секторларының жай-күйі туралы жоғарыда келтірілген деректер бұл рыноктың қазіргі кезде қарқынды дамып келе жатқаны туралы қорытынды жасауға мүмкіндік береді. Интернетті қолданғалы бері бизнесте ашылатын жаңа мүмкіндіктермен принципті түрде шартталған осы рыноктың қарқынмен дамуы Интернет-коммерцияның техникалық және программалық құралдарын тез жетілдірумен байқалады. Осы құралдарды дамытуда «Интел» компаниясы  төрт кезеңді бөліп қарастырады [4]:</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-1-кезең. WEB-тораптарын ұйымдастыру. Internet-технология қолданатын негізгі бағдарлау - жеткізушіге; технология жеткілікті дамыған;</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-2-кезең. Электрондық коммерцияны енгізу. Бейімделу – көбінесе жеткізушіге; технологияның бір бөлігі игеру сатысында тұр, бір бөлігі – дамудың жоғарғы дәрежесімен сипатталады;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xml:space="preserve">-3-кезең. Деректер базаларын пайдалану. Тұтынушыға бейімделу. Технологиялар игеру процесінде тұр;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-4-кезең. Автоматтандыру. Тұтынушыға бейімделу. Техникалық және программалық құралдар құрастыру және меңгеру сатысында тұр. </w:t>
      </w:r>
    </w:p>
    <w:p w:rsidR="00DB5596" w:rsidRPr="009B410A" w:rsidRDefault="00DB5596" w:rsidP="00DB5596">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Intel фирмасының басшы қызметкерлері бекіткендей, болашақта Интернет-коммерция дамуының төртінші кезеңін жүзеге асыру процесінде табылған шешімдер электрондық коммерцияның тек жекелеген секторларында ғана емес, сондай-ақ тұтастай бизнес ұйымдастыруда да революциялық өзгерістерге әкеледі. </w:t>
      </w:r>
    </w:p>
    <w:p w:rsidR="00894E11" w:rsidRPr="00DB5596" w:rsidRDefault="00894E11">
      <w:pPr>
        <w:rPr>
          <w:lang w:val="kk-KZ"/>
        </w:rPr>
      </w:pPr>
    </w:p>
    <w:sectPr w:rsidR="00894E11" w:rsidRPr="00DB5596" w:rsidSect="00DB5596">
      <w:pgSz w:w="11906" w:h="16838"/>
      <w:pgMar w:top="851" w:right="567"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B5596"/>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5596"/>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59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B559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B559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788</Words>
  <Characters>4495</Characters>
  <Application>Microsoft Office Word</Application>
  <DocSecurity>0</DocSecurity>
  <Lines>37</Lines>
  <Paragraphs>10</Paragraphs>
  <ScaleCrop>false</ScaleCrop>
  <Company>DG Win&amp;Soft</Company>
  <LinksUpToDate>false</LinksUpToDate>
  <CharactersWithSpaces>5273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2019-10-04T17:39:00Z</dcterms:created>
  <dcterms:modified xsi:type="dcterms:W3CDTF">2019-10-04T17:44:00Z</dcterms:modified>
</cp:coreProperties>
</file>